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5EE7" w14:textId="63E44723" w:rsidR="0077094E" w:rsidRDefault="0077094E" w:rsidP="003A29AA">
      <w:pPr>
        <w:spacing w:before="100" w:beforeAutospacing="1" w:after="100" w:afterAutospacing="1" w:line="240" w:lineRule="auto"/>
        <w:outlineLvl w:val="0"/>
        <w:rPr>
          <w:rFonts w:ascii="Aptos Display" w:eastAsia="Times New Roman" w:hAnsi="Aptos Display" w:cs="Times New Roman"/>
          <w:b/>
          <w:bCs/>
          <w:color w:val="000000"/>
          <w:kern w:val="36"/>
          <w:sz w:val="48"/>
          <w:szCs w:val="48"/>
          <w14:ligatures w14:val="none"/>
        </w:rPr>
      </w:pPr>
      <w:r>
        <w:rPr>
          <w:rFonts w:ascii="Aptos Display" w:eastAsia="Times New Roman" w:hAnsi="Aptos Display" w:cs="Times New Roman"/>
          <w:b/>
          <w:bCs/>
          <w:color w:val="000000"/>
          <w:kern w:val="36"/>
          <w:sz w:val="48"/>
          <w:szCs w:val="48"/>
          <w14:ligatures w14:val="none"/>
        </w:rPr>
        <w:t>General Assembly 3: Humanitarian and Culture</w:t>
      </w:r>
    </w:p>
    <w:p w14:paraId="2A320C3B" w14:textId="76263828" w:rsidR="003A29AA" w:rsidRPr="00E14AE8" w:rsidRDefault="003A29AA" w:rsidP="003A29AA">
      <w:pPr>
        <w:spacing w:before="100" w:beforeAutospacing="1" w:after="100" w:afterAutospacing="1" w:line="240" w:lineRule="auto"/>
        <w:outlineLvl w:val="0"/>
        <w:rPr>
          <w:rFonts w:ascii="Aptos Display" w:eastAsia="Times New Roman" w:hAnsi="Aptos Display" w:cs="Times New Roman"/>
          <w:b/>
          <w:bCs/>
          <w:color w:val="000000"/>
          <w:kern w:val="36"/>
          <w:sz w:val="48"/>
          <w:szCs w:val="48"/>
          <w14:ligatures w14:val="none"/>
        </w:rPr>
      </w:pPr>
      <w:r w:rsidRPr="00E14AE8">
        <w:rPr>
          <w:rFonts w:ascii="Aptos Display" w:eastAsia="Times New Roman" w:hAnsi="Aptos Display" w:cs="Times New Roman"/>
          <w:b/>
          <w:bCs/>
          <w:color w:val="000000"/>
          <w:kern w:val="36"/>
          <w:sz w:val="48"/>
          <w:szCs w:val="48"/>
          <w14:ligatures w14:val="none"/>
        </w:rPr>
        <w:t>Briefing Paper for Delegates</w:t>
      </w:r>
    </w:p>
    <w:p w14:paraId="5D0C0062"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Agenda: Protection of Journalists in Conflict Zones</w:t>
      </w:r>
    </w:p>
    <w:p w14:paraId="30779E59"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33609A47" wp14:editId="1C0B7614">
                <wp:extent cx="5731510" cy="1270"/>
                <wp:effectExtent l="0" t="31750" r="0" b="36830"/>
                <wp:docPr id="67290285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8947B6B" id="Rectangle 1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780281A3" w14:textId="77777777" w:rsidR="003A29AA" w:rsidRPr="00E14AE8"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E14AE8">
        <w:rPr>
          <w:rFonts w:ascii="Aptos Display" w:eastAsia="Times New Roman" w:hAnsi="Aptos Display" w:cs="Times New Roman"/>
          <w:b/>
          <w:bCs/>
          <w:color w:val="000000"/>
          <w:kern w:val="0"/>
          <w:sz w:val="36"/>
          <w:szCs w:val="36"/>
          <w14:ligatures w14:val="none"/>
        </w:rPr>
        <w:t>1. Historical Background: Journalism in Conflict Zones</w:t>
      </w:r>
    </w:p>
    <w:p w14:paraId="13344B1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role of journalists in conflict zones has evolved significantly over time, shaped by changes in warfare, technology, and the relationship between governments and the press.</w:t>
      </w:r>
    </w:p>
    <w:p w14:paraId="58319B61"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E14AE8">
        <w:rPr>
          <w:rFonts w:ascii="Aptos Display" w:eastAsia="Times New Roman" w:hAnsi="Aptos Display" w:cs="Times New Roman"/>
          <w:b/>
          <w:bCs/>
          <w:color w:val="000000"/>
          <w:kern w:val="0"/>
          <w:sz w:val="27"/>
          <w:szCs w:val="27"/>
          <w14:ligatures w14:val="none"/>
        </w:rPr>
        <w:t>A. Early War Correspondence (19th–Early 20th Century)</w:t>
      </w:r>
    </w:p>
    <w:p w14:paraId="0222B2E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Modern war journalism is often traced back to correspondents such as William Howard Russell, who reported on the Crimean War in the 1850s. His reporting exposed battlefield conditions and influenced public opinion, demonstrating the growing importance of independent journalism.</w:t>
      </w:r>
    </w:p>
    <w:p w14:paraId="08361985"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During World War I and World War II, journalists worked under strict censorship. Governments controlled the flow of information, and reporting was often used to support national war efforts rather than provide independent analysis (ICRC, n.d.).</w:t>
      </w:r>
    </w:p>
    <w:p w14:paraId="1E7DAF61"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7EBDA066" wp14:editId="4BBF5FAA">
                <wp:extent cx="5731510" cy="1270"/>
                <wp:effectExtent l="0" t="31750" r="0" b="36830"/>
                <wp:docPr id="10088324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929E0B6" id="Rectangle 1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6BDDF37"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E14AE8">
        <w:rPr>
          <w:rFonts w:ascii="Aptos Display" w:eastAsia="Times New Roman" w:hAnsi="Aptos Display" w:cs="Times New Roman"/>
          <w:b/>
          <w:bCs/>
          <w:color w:val="000000"/>
          <w:kern w:val="0"/>
          <w:sz w:val="27"/>
          <w:szCs w:val="27"/>
          <w14:ligatures w14:val="none"/>
        </w:rPr>
        <w:t>B. The Vietnam War: Rise of Independent Reporting (1955–1975)</w:t>
      </w:r>
    </w:p>
    <w:p w14:paraId="4D291A6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Vietnam War marked a turning point. Journalists were provided with relatively direct access to combat zones, allowing for:</w:t>
      </w:r>
    </w:p>
    <w:p w14:paraId="3CE6ECB6" w14:textId="77777777" w:rsidR="003A29AA" w:rsidRPr="00E14AE8" w:rsidRDefault="003A29AA" w:rsidP="003A29AA">
      <w:pPr>
        <w:numPr>
          <w:ilvl w:val="0"/>
          <w:numId w:val="11"/>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More immediate and uncensored reporting</w:t>
      </w:r>
    </w:p>
    <w:p w14:paraId="0213CF4C" w14:textId="77777777" w:rsidR="003A29AA" w:rsidRPr="00E14AE8" w:rsidRDefault="003A29AA" w:rsidP="003A29AA">
      <w:pPr>
        <w:numPr>
          <w:ilvl w:val="0"/>
          <w:numId w:val="11"/>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Widespread broadcast of images and footage</w:t>
      </w:r>
    </w:p>
    <w:p w14:paraId="4D044D88" w14:textId="77777777" w:rsidR="003A29AA" w:rsidRPr="00E14AE8" w:rsidRDefault="003A29AA" w:rsidP="003A29AA">
      <w:pPr>
        <w:numPr>
          <w:ilvl w:val="0"/>
          <w:numId w:val="11"/>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Increased influence on global public opinion</w:t>
      </w:r>
    </w:p>
    <w:p w14:paraId="391F39B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This era demonstrated the power of journalism to shape perceptions of war, while also increasing tensions between governments and the media (RSF, 2023).</w:t>
      </w:r>
    </w:p>
    <w:p w14:paraId="7DF6141E"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07C5EB48" wp14:editId="4EDFD98F">
                <wp:extent cx="5731510" cy="1270"/>
                <wp:effectExtent l="0" t="31750" r="0" b="36830"/>
                <wp:docPr id="13789524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09E3F8F" id="Rectangle 1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646EBFA7"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E14AE8">
        <w:rPr>
          <w:rFonts w:ascii="Aptos Display" w:eastAsia="Times New Roman" w:hAnsi="Aptos Display" w:cs="Times New Roman"/>
          <w:b/>
          <w:bCs/>
          <w:color w:val="000000"/>
          <w:kern w:val="0"/>
          <w:sz w:val="27"/>
          <w:szCs w:val="27"/>
          <w14:ligatures w14:val="none"/>
        </w:rPr>
        <w:t>C. Late 20th Century Conflicts: Increasing Risk (1980s–1990s)</w:t>
      </w:r>
    </w:p>
    <w:p w14:paraId="07BB5425"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lastRenderedPageBreak/>
        <w:t>Conflicts such as the Lebanese Civil War and the Yugoslav Wars exposed journalists to growing dangers, including:</w:t>
      </w:r>
    </w:p>
    <w:p w14:paraId="3897C730" w14:textId="77777777" w:rsidR="003A29AA" w:rsidRPr="00E14AE8" w:rsidRDefault="003A29AA" w:rsidP="003A29AA">
      <w:pPr>
        <w:numPr>
          <w:ilvl w:val="0"/>
          <w:numId w:val="12"/>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Kidnapping</w:t>
      </w:r>
    </w:p>
    <w:p w14:paraId="31C15BAC" w14:textId="77777777" w:rsidR="003A29AA" w:rsidRPr="00E14AE8" w:rsidRDefault="003A29AA" w:rsidP="003A29AA">
      <w:pPr>
        <w:numPr>
          <w:ilvl w:val="0"/>
          <w:numId w:val="12"/>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Targeted violence</w:t>
      </w:r>
    </w:p>
    <w:p w14:paraId="61E6AA27" w14:textId="77777777" w:rsidR="003A29AA" w:rsidRPr="00E14AE8" w:rsidRDefault="003A29AA" w:rsidP="003A29AA">
      <w:pPr>
        <w:numPr>
          <w:ilvl w:val="0"/>
          <w:numId w:val="12"/>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Urban warfare without clear front lines</w:t>
      </w:r>
    </w:p>
    <w:p w14:paraId="691A7DBF"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These conflicts marked a shift toward less predictable and more fragmented battle environments (CPJ, 2024).</w:t>
      </w:r>
    </w:p>
    <w:p w14:paraId="3856F196"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7CAA29D3" wp14:editId="27136C8E">
                <wp:extent cx="5731510" cy="1270"/>
                <wp:effectExtent l="0" t="31750" r="0" b="36830"/>
                <wp:docPr id="103841358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01799E" id="Rectangle 1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7A7EE23A"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D. Post-2000 Conflicts: Journalists as Targets</w:t>
      </w:r>
    </w:p>
    <w:p w14:paraId="70B9C9FF"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In the aftermath of the September 11 attacks, conflicts such as the Iraq War and the War in Afghanistan saw a significant rise in risks to journalists.</w:t>
      </w:r>
    </w:p>
    <w:p w14:paraId="2287304D"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Key developments included:</w:t>
      </w:r>
    </w:p>
    <w:p w14:paraId="3754CCC5" w14:textId="77777777" w:rsidR="003A29AA" w:rsidRPr="00E14AE8" w:rsidRDefault="003A29AA" w:rsidP="003A29AA">
      <w:pPr>
        <w:numPr>
          <w:ilvl w:val="0"/>
          <w:numId w:val="13"/>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The rise of non-state armed groups</w:t>
      </w:r>
    </w:p>
    <w:p w14:paraId="4B407064" w14:textId="77777777" w:rsidR="003A29AA" w:rsidRPr="00E14AE8" w:rsidRDefault="003A29AA" w:rsidP="003A29AA">
      <w:pPr>
        <w:numPr>
          <w:ilvl w:val="0"/>
          <w:numId w:val="13"/>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Increased asymmetrical warfare</w:t>
      </w:r>
    </w:p>
    <w:p w14:paraId="02248978" w14:textId="77777777" w:rsidR="003A29AA" w:rsidRPr="00E14AE8" w:rsidRDefault="003A29AA" w:rsidP="003A29AA">
      <w:pPr>
        <w:numPr>
          <w:ilvl w:val="0"/>
          <w:numId w:val="13"/>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Deliberate targeting of journalists</w:t>
      </w:r>
    </w:p>
    <w:p w14:paraId="4EBA6B9A"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killing of Daniel Pearl highlighted the growing trend of journalists being intentionally targeted rather than unintentionally harmed (CPJ, 2024).</w:t>
      </w:r>
    </w:p>
    <w:p w14:paraId="60BED6D3"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Similarly, journalists such as Marie Colvin were killed while reporting in active conflict zones like Syria, raising concerns about attacks on clearly identified media personnel (UNESCO, 2022).</w:t>
      </w:r>
    </w:p>
    <w:p w14:paraId="1444525E"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2F384274" wp14:editId="1C5A1ED4">
                <wp:extent cx="5731510" cy="1270"/>
                <wp:effectExtent l="0" t="31750" r="0" b="36830"/>
                <wp:docPr id="115598620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9607AA5" id="Rectangle 1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C18A157"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E. The Digital Era and Hybrid Warfare (2010s–Present)</w:t>
      </w:r>
    </w:p>
    <w:p w14:paraId="77F23B21"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Modern conflict reporting has been transformed by digital technology. While it allows for rapid dissemination of information, it also introduces new risks:</w:t>
      </w:r>
    </w:p>
    <w:p w14:paraId="22D3477E" w14:textId="77777777" w:rsidR="003A29AA" w:rsidRPr="00E14AE8" w:rsidRDefault="003A29AA" w:rsidP="003A29AA">
      <w:pPr>
        <w:numPr>
          <w:ilvl w:val="0"/>
          <w:numId w:val="14"/>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Cyberattacks and surveillance</w:t>
      </w:r>
    </w:p>
    <w:p w14:paraId="1E6A72D5" w14:textId="77777777" w:rsidR="003A29AA" w:rsidRPr="00E14AE8" w:rsidRDefault="003A29AA" w:rsidP="003A29AA">
      <w:pPr>
        <w:numPr>
          <w:ilvl w:val="0"/>
          <w:numId w:val="14"/>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Online harassment</w:t>
      </w:r>
    </w:p>
    <w:p w14:paraId="74C428D9" w14:textId="77777777" w:rsidR="003A29AA" w:rsidRPr="00E14AE8" w:rsidRDefault="003A29AA" w:rsidP="003A29AA">
      <w:pPr>
        <w:numPr>
          <w:ilvl w:val="0"/>
          <w:numId w:val="14"/>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Spread of misinformation</w:t>
      </w:r>
    </w:p>
    <w:p w14:paraId="245FF403"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Conflicts such as the Syrian Civil War and the Russo-Ukrainian War demonstrate how journalists operate in extraordinarily complex and dangerous information environments.</w:t>
      </w:r>
    </w:p>
    <w:p w14:paraId="1020CF37"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According to UNESCO, a substantial number of journalist killings remain unresolved, with nearly 90% of cases going unpunished, reinforcing a global culture of impunity (UNESCO, 2022).</w:t>
      </w:r>
    </w:p>
    <w:p w14:paraId="55BA2654"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w:lastRenderedPageBreak/>
        <mc:AlternateContent>
          <mc:Choice Requires="wps">
            <w:drawing>
              <wp:inline distT="0" distB="0" distL="0" distR="0" wp14:anchorId="485D77D1" wp14:editId="44CA6DBC">
                <wp:extent cx="5731510" cy="1270"/>
                <wp:effectExtent l="0" t="31750" r="0" b="36830"/>
                <wp:docPr id="211861439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DC088C" id="Rectangle 1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615D4AF1"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F. Contemporary Trends (2020s)</w:t>
      </w:r>
    </w:p>
    <w:p w14:paraId="5310E501"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Recent years have seen continued challenges:</w:t>
      </w:r>
    </w:p>
    <w:p w14:paraId="4A2E2EF4" w14:textId="77777777" w:rsidR="003A29AA" w:rsidRPr="00E14AE8" w:rsidRDefault="003A29AA" w:rsidP="003A29AA">
      <w:pPr>
        <w:numPr>
          <w:ilvl w:val="0"/>
          <w:numId w:val="15"/>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Rising numbers of journalist casualties in conflict zones</w:t>
      </w:r>
    </w:p>
    <w:p w14:paraId="68CC2D71" w14:textId="77777777" w:rsidR="003A29AA" w:rsidRPr="00E14AE8" w:rsidRDefault="003A29AA" w:rsidP="003A29AA">
      <w:pPr>
        <w:numPr>
          <w:ilvl w:val="0"/>
          <w:numId w:val="15"/>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Increased concerns regarding targeted attacks</w:t>
      </w:r>
    </w:p>
    <w:p w14:paraId="7BF829FB" w14:textId="77777777" w:rsidR="003A29AA" w:rsidRPr="00E14AE8" w:rsidRDefault="003A29AA" w:rsidP="003A29AA">
      <w:pPr>
        <w:numPr>
          <w:ilvl w:val="0"/>
          <w:numId w:val="15"/>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Expansion of threats beyond physical violence to digital and transnational repression</w:t>
      </w:r>
    </w:p>
    <w:p w14:paraId="7A6F6B8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Data from the Committee to Protect Journalists and Reporters Without Borders confirm ongoing threats and fluctuating but persistent journalist fatalities globally (CPJ, 2024; RSF, 2024).</w:t>
      </w:r>
    </w:p>
    <w:p w14:paraId="1F7D2915"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24E092DA" wp14:editId="566E6898">
                <wp:extent cx="5731510" cy="1270"/>
                <wp:effectExtent l="0" t="31750" r="0" b="36830"/>
                <wp:docPr id="11470819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78F6EA"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F9DDB07"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2. Introduction</w:t>
      </w:r>
    </w:p>
    <w:p w14:paraId="05E87191"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protection of journalists in conflict zones remains a critical issue within the international community. Journalists play a vital role in documenting armed conflicts, reporting on humanitarian crises, and ensuring access to reliable information. Their work supports transparency, accountability, and the protection of human rights.</w:t>
      </w:r>
    </w:p>
    <w:p w14:paraId="415968DF"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Despite this, journalists working in high-risk environments face increasing threats, including violence, detention, and censorship (UNESCO, 2022). The issue is therefore central to the mandate of GA3, which focuses on social, humanitarian, and human rights concerns.</w:t>
      </w:r>
    </w:p>
    <w:p w14:paraId="1E18F866"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64AF8049" wp14:editId="3BD94E08">
                <wp:extent cx="5731510" cy="1270"/>
                <wp:effectExtent l="0" t="31750" r="0" b="36830"/>
                <wp:docPr id="132772637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C631EAC" id="Rectangle 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3EFE1C2C"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3. Legal and Normative Framework</w:t>
      </w:r>
    </w:p>
    <w:p w14:paraId="358BA9E3"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color w:val="000000"/>
          <w:kern w:val="0"/>
          <w:sz w:val="27"/>
          <w:szCs w:val="27"/>
          <w14:ligatures w14:val="none"/>
        </w:rPr>
      </w:pPr>
      <w:r w:rsidRPr="00E14AE8">
        <w:rPr>
          <w:rFonts w:ascii="Aptos Display" w:eastAsia="Times New Roman" w:hAnsi="Aptos Display" w:cs="Times New Roman"/>
          <w:color w:val="000000"/>
          <w:kern w:val="0"/>
          <w:sz w:val="27"/>
          <w:szCs w:val="27"/>
          <w14:ligatures w14:val="none"/>
        </w:rPr>
        <w:t>International Human Rights Law</w:t>
      </w:r>
    </w:p>
    <w:p w14:paraId="4A014481"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Journalists are protected under:</w:t>
      </w:r>
    </w:p>
    <w:p w14:paraId="2DADD6F1" w14:textId="77777777" w:rsidR="003A29AA" w:rsidRPr="00E14AE8" w:rsidRDefault="003A29AA" w:rsidP="003A29AA">
      <w:pPr>
        <w:numPr>
          <w:ilvl w:val="0"/>
          <w:numId w:val="16"/>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Article 19 of the Universal Declaration of Human Rights</w:t>
      </w:r>
    </w:p>
    <w:p w14:paraId="011B995F" w14:textId="77777777" w:rsidR="003A29AA" w:rsidRPr="00E14AE8" w:rsidRDefault="003A29AA" w:rsidP="003A29AA">
      <w:pPr>
        <w:numPr>
          <w:ilvl w:val="0"/>
          <w:numId w:val="16"/>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The International Covenant on Civil and Political Rights</w:t>
      </w:r>
    </w:p>
    <w:p w14:paraId="1AD77F5F"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1A9356C2" wp14:editId="21741FC1">
                <wp:extent cx="5731510" cy="1270"/>
                <wp:effectExtent l="0" t="31750" r="0" b="36830"/>
                <wp:docPr id="5791151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A5D1079"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83E1948"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color w:val="000000"/>
          <w:kern w:val="0"/>
          <w:sz w:val="27"/>
          <w:szCs w:val="27"/>
          <w14:ligatures w14:val="none"/>
        </w:rPr>
      </w:pPr>
      <w:r w:rsidRPr="00E14AE8">
        <w:rPr>
          <w:rFonts w:ascii="Aptos Display" w:eastAsia="Times New Roman" w:hAnsi="Aptos Display" w:cs="Times New Roman"/>
          <w:color w:val="000000"/>
          <w:kern w:val="0"/>
          <w:sz w:val="27"/>
          <w:szCs w:val="27"/>
          <w14:ligatures w14:val="none"/>
        </w:rPr>
        <w:t>International Humanitarian Law</w:t>
      </w:r>
    </w:p>
    <w:p w14:paraId="615CC63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Under the Geneva Conventions, journalists are considered civilians and are protected unless directly participating in hostilities (ICRC, n.d.).</w:t>
      </w:r>
    </w:p>
    <w:p w14:paraId="3F2D3985"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7EF2E954" wp14:editId="47EE40E3">
                <wp:extent cx="5731510" cy="1270"/>
                <wp:effectExtent l="0" t="31750" r="0" b="36830"/>
                <wp:docPr id="15146815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3A73B5"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450481BA" w14:textId="77777777" w:rsidR="003A29AA" w:rsidRPr="00E14AE8" w:rsidRDefault="003A29AA" w:rsidP="003A29AA">
      <w:pPr>
        <w:spacing w:before="100" w:beforeAutospacing="1" w:after="100" w:afterAutospacing="1" w:line="240" w:lineRule="auto"/>
        <w:outlineLvl w:val="2"/>
        <w:rPr>
          <w:rFonts w:ascii="Aptos Display" w:eastAsia="Times New Roman" w:hAnsi="Aptos Display" w:cs="Times New Roman"/>
          <w:color w:val="000000"/>
          <w:kern w:val="0"/>
          <w:sz w:val="27"/>
          <w:szCs w:val="27"/>
          <w14:ligatures w14:val="none"/>
        </w:rPr>
      </w:pPr>
      <w:r w:rsidRPr="00E14AE8">
        <w:rPr>
          <w:rFonts w:ascii="Aptos Display" w:eastAsia="Times New Roman" w:hAnsi="Aptos Display" w:cs="Times New Roman"/>
          <w:color w:val="000000"/>
          <w:kern w:val="0"/>
          <w:sz w:val="27"/>
          <w:szCs w:val="27"/>
          <w14:ligatures w14:val="none"/>
        </w:rPr>
        <w:lastRenderedPageBreak/>
        <w:t>United Nations Frameworks</w:t>
      </w:r>
    </w:p>
    <w:p w14:paraId="58F19150" w14:textId="77777777" w:rsidR="003A29AA" w:rsidRPr="00E14AE8" w:rsidRDefault="003A29AA" w:rsidP="003A29AA">
      <w:pPr>
        <w:numPr>
          <w:ilvl w:val="0"/>
          <w:numId w:val="17"/>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UN Plan of Action on the Safety of Journalists</w:t>
      </w:r>
    </w:p>
    <w:p w14:paraId="4660949C" w14:textId="77777777" w:rsidR="003A29AA" w:rsidRPr="00E14AE8" w:rsidRDefault="003A29AA" w:rsidP="003A29AA">
      <w:pPr>
        <w:numPr>
          <w:ilvl w:val="0"/>
          <w:numId w:val="17"/>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General Assembly and Human Rights Council resolutions</w:t>
      </w:r>
    </w:p>
    <w:p w14:paraId="023209C1" w14:textId="77777777" w:rsidR="003A29AA" w:rsidRPr="00E14AE8" w:rsidRDefault="003A29AA" w:rsidP="003A29AA">
      <w:pPr>
        <w:numPr>
          <w:ilvl w:val="0"/>
          <w:numId w:val="17"/>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Monitoring and reporting mechanisms led by UNESCO</w:t>
      </w:r>
    </w:p>
    <w:p w14:paraId="54ACE5DD"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1A3C2A98" wp14:editId="113AD2CD">
                <wp:extent cx="5731510" cy="1270"/>
                <wp:effectExtent l="0" t="31750" r="0" b="36830"/>
                <wp:docPr id="853725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D30BC2"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07FB2456"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4. Key Issues</w:t>
      </w:r>
    </w:p>
    <w:p w14:paraId="48ADA194"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A. Safety and Protection</w:t>
      </w:r>
    </w:p>
    <w:p w14:paraId="481C764B"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Journalists face physical risks from both state and non-state actors. Access to protective resources varies significantly (RSF, 2024).</w:t>
      </w:r>
    </w:p>
    <w:p w14:paraId="06F2F8AF"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B. Impunity</w:t>
      </w:r>
    </w:p>
    <w:p w14:paraId="323B1875"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A considerable proportion of crimes against journalists are not prosecuted, with impunity rates reaching close to 90% globally (UNESCO, 2022; CPJ, 2024).</w:t>
      </w:r>
    </w:p>
    <w:p w14:paraId="202613E7"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C. Freedom of Expression vs National Security</w:t>
      </w:r>
    </w:p>
    <w:p w14:paraId="6FD63EC3"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States may restrict media under national security justifications, raising concerns about censorship and misuse of legal frameworks (ICCPR, Article 19).</w:t>
      </w:r>
    </w:p>
    <w:p w14:paraId="0932A160"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D. Gender-Specific Challenges</w:t>
      </w:r>
    </w:p>
    <w:p w14:paraId="76658DF4"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Female journalists face additional risks, including gender-based violence and online harassment. Studies show that a significant proportion experience online abuse (UNESCO, 2021; ICFJ, 2022).</w:t>
      </w:r>
    </w:p>
    <w:p w14:paraId="3103BEAE"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E. Digital Threats</w:t>
      </w:r>
    </w:p>
    <w:p w14:paraId="77B6E868"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Journalists increasingly face surveillance, cyberattacks, and online intimidation, particularly in authoritarian or conflict-affected environments (ICFJ, 2022).</w:t>
      </w:r>
    </w:p>
    <w:p w14:paraId="3EFEDDC2" w14:textId="77777777" w:rsidR="003A29AA" w:rsidRPr="00795C85" w:rsidRDefault="003A29AA" w:rsidP="003A29AA">
      <w:pPr>
        <w:spacing w:before="100" w:beforeAutospacing="1" w:after="100" w:afterAutospacing="1" w:line="240" w:lineRule="auto"/>
        <w:outlineLvl w:val="2"/>
        <w:rPr>
          <w:rFonts w:ascii="Aptos Display" w:eastAsia="Times New Roman" w:hAnsi="Aptos Display" w:cs="Times New Roman"/>
          <w:b/>
          <w:bCs/>
          <w:color w:val="000000"/>
          <w:kern w:val="0"/>
          <w:sz w:val="27"/>
          <w:szCs w:val="27"/>
          <w14:ligatures w14:val="none"/>
        </w:rPr>
      </w:pPr>
      <w:r w:rsidRPr="00795C85">
        <w:rPr>
          <w:rFonts w:ascii="Aptos Display" w:eastAsia="Times New Roman" w:hAnsi="Aptos Display" w:cs="Times New Roman"/>
          <w:b/>
          <w:bCs/>
          <w:color w:val="000000"/>
          <w:kern w:val="0"/>
          <w:sz w:val="27"/>
          <w:szCs w:val="27"/>
          <w14:ligatures w14:val="none"/>
        </w:rPr>
        <w:t>F. Vulnerability of Local and Freelance Journalists</w:t>
      </w:r>
    </w:p>
    <w:p w14:paraId="528E3E9B"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Local journalists account for the majority of casualties in conflict zones and often lack institutional protection (CPJ, 2024; IFJ, 2023).</w:t>
      </w:r>
    </w:p>
    <w:p w14:paraId="3604A610"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18B5C430" wp14:editId="10342461">
                <wp:extent cx="5731510" cy="1270"/>
                <wp:effectExtent l="0" t="31750" r="0" b="36830"/>
                <wp:docPr id="4375634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20195F7"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6B6380E9"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5. Role of GA3</w:t>
      </w:r>
    </w:p>
    <w:p w14:paraId="63556753"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General Assembly Third Committee addresses this issue through:</w:t>
      </w:r>
    </w:p>
    <w:p w14:paraId="5E69BE95" w14:textId="77777777" w:rsidR="003A29AA" w:rsidRPr="00E14AE8" w:rsidRDefault="003A29AA" w:rsidP="003A29AA">
      <w:pPr>
        <w:numPr>
          <w:ilvl w:val="0"/>
          <w:numId w:val="18"/>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lastRenderedPageBreak/>
        <w:t>Norm-setting</w:t>
      </w:r>
    </w:p>
    <w:p w14:paraId="19C13565" w14:textId="77777777" w:rsidR="003A29AA" w:rsidRPr="00E14AE8" w:rsidRDefault="003A29AA" w:rsidP="003A29AA">
      <w:pPr>
        <w:numPr>
          <w:ilvl w:val="0"/>
          <w:numId w:val="18"/>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Promotion of human rights</w:t>
      </w:r>
    </w:p>
    <w:p w14:paraId="242A204F" w14:textId="77777777" w:rsidR="003A29AA" w:rsidRPr="00E14AE8" w:rsidRDefault="003A29AA" w:rsidP="003A29AA">
      <w:pPr>
        <w:numPr>
          <w:ilvl w:val="0"/>
          <w:numId w:val="18"/>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Encouraging international cooperation</w:t>
      </w:r>
    </w:p>
    <w:p w14:paraId="7F264E83"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GA3 resolutions are non-binding but influential in shaping global standards.</w:t>
      </w:r>
    </w:p>
    <w:p w14:paraId="7B9EF34B"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3B6466E5" wp14:editId="15CC27E0">
                <wp:extent cx="5731510" cy="1270"/>
                <wp:effectExtent l="0" t="31750" r="0" b="36830"/>
                <wp:docPr id="3054012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AE65E0"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BE88041"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6. Points for Consideration</w:t>
      </w:r>
    </w:p>
    <w:p w14:paraId="418D08C4" w14:textId="77777777" w:rsidR="003A29AA" w:rsidRPr="00E14AE8" w:rsidRDefault="003A29AA" w:rsidP="003A29AA">
      <w:pPr>
        <w:numPr>
          <w:ilvl w:val="0"/>
          <w:numId w:val="19"/>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How can protections be strengthened while respecting sovereignty?</w:t>
      </w:r>
    </w:p>
    <w:p w14:paraId="5A962829" w14:textId="77777777" w:rsidR="003A29AA" w:rsidRPr="00E14AE8" w:rsidRDefault="003A29AA" w:rsidP="003A29AA">
      <w:pPr>
        <w:numPr>
          <w:ilvl w:val="0"/>
          <w:numId w:val="19"/>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What mechanisms can reduce impunity?</w:t>
      </w:r>
    </w:p>
    <w:p w14:paraId="4D8F8862" w14:textId="77777777" w:rsidR="003A29AA" w:rsidRPr="00E14AE8" w:rsidRDefault="003A29AA" w:rsidP="003A29AA">
      <w:pPr>
        <w:numPr>
          <w:ilvl w:val="0"/>
          <w:numId w:val="19"/>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How can journalists be supported in high-risk environments?</w:t>
      </w:r>
    </w:p>
    <w:p w14:paraId="166FE920" w14:textId="77777777" w:rsidR="003A29AA" w:rsidRPr="00E14AE8" w:rsidRDefault="003A29AA" w:rsidP="003A29AA">
      <w:pPr>
        <w:numPr>
          <w:ilvl w:val="0"/>
          <w:numId w:val="19"/>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What role should digital regulation play?</w:t>
      </w:r>
    </w:p>
    <w:p w14:paraId="5E4F3C14" w14:textId="77777777" w:rsidR="003A29AA" w:rsidRPr="00E14AE8" w:rsidRDefault="003A29AA" w:rsidP="003A29AA">
      <w:pPr>
        <w:numPr>
          <w:ilvl w:val="0"/>
          <w:numId w:val="19"/>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How can gender-specific risks be addressed?</w:t>
      </w:r>
    </w:p>
    <w:p w14:paraId="20C0A1BC"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54227731" wp14:editId="49438331">
                <wp:extent cx="5731510" cy="1270"/>
                <wp:effectExtent l="0" t="31750" r="0" b="36830"/>
                <wp:docPr id="6610326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4AC7091"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909744E"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7. Suggested Areas for Resolution Building</w:t>
      </w:r>
    </w:p>
    <w:p w14:paraId="1ABF80FF" w14:textId="77777777" w:rsidR="003A29AA" w:rsidRPr="00E14AE8" w:rsidRDefault="003A29AA" w:rsidP="003A29AA">
      <w:pPr>
        <w:numPr>
          <w:ilvl w:val="0"/>
          <w:numId w:val="20"/>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Strengthening legal frameworks</w:t>
      </w:r>
    </w:p>
    <w:p w14:paraId="3FC47401" w14:textId="77777777" w:rsidR="003A29AA" w:rsidRPr="00E14AE8" w:rsidRDefault="003A29AA" w:rsidP="003A29AA">
      <w:pPr>
        <w:numPr>
          <w:ilvl w:val="0"/>
          <w:numId w:val="20"/>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Enhancing monitoring and reporting</w:t>
      </w:r>
    </w:p>
    <w:p w14:paraId="6EA31B22" w14:textId="77777777" w:rsidR="003A29AA" w:rsidRPr="00E14AE8" w:rsidRDefault="003A29AA" w:rsidP="003A29AA">
      <w:pPr>
        <w:numPr>
          <w:ilvl w:val="0"/>
          <w:numId w:val="20"/>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Capacity-building initiatives</w:t>
      </w:r>
    </w:p>
    <w:p w14:paraId="0254E037" w14:textId="77777777" w:rsidR="003A29AA" w:rsidRPr="00E14AE8" w:rsidRDefault="003A29AA" w:rsidP="003A29AA">
      <w:pPr>
        <w:numPr>
          <w:ilvl w:val="0"/>
          <w:numId w:val="20"/>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Addressing digital security risks</w:t>
      </w:r>
    </w:p>
    <w:p w14:paraId="0D2A5103" w14:textId="77777777" w:rsidR="003A29AA" w:rsidRPr="00E14AE8" w:rsidRDefault="003A29AA" w:rsidP="003A29AA">
      <w:pPr>
        <w:numPr>
          <w:ilvl w:val="0"/>
          <w:numId w:val="20"/>
        </w:numPr>
        <w:spacing w:before="100" w:beforeAutospacing="1" w:after="100" w:afterAutospacing="1" w:line="240" w:lineRule="auto"/>
        <w:rPr>
          <w:rFonts w:ascii="Aptos Display" w:eastAsia="Times New Roman" w:hAnsi="Aptos Display" w:cs="Times New Roman"/>
          <w:color w:val="000000"/>
          <w:kern w:val="0"/>
          <w14:ligatures w14:val="none"/>
        </w:rPr>
      </w:pPr>
      <w:r w:rsidRPr="00E14AE8">
        <w:rPr>
          <w:rFonts w:ascii="Aptos Display" w:eastAsia="Times New Roman" w:hAnsi="Aptos Display" w:cs="Times New Roman"/>
          <w:color w:val="000000"/>
          <w:kern w:val="0"/>
          <w14:ligatures w14:val="none"/>
        </w:rPr>
        <w:t>Supporting freelance journalists</w:t>
      </w:r>
    </w:p>
    <w:p w14:paraId="2B7287F5" w14:textId="77777777" w:rsidR="003A29AA" w:rsidRPr="00E14AE8" w:rsidRDefault="003A29AA" w:rsidP="003A29AA">
      <w:pPr>
        <w:spacing w:after="0" w:line="240" w:lineRule="auto"/>
        <w:rPr>
          <w:rFonts w:ascii="Aptos Display" w:eastAsia="Times New Roman" w:hAnsi="Aptos Display" w:cs="Times New Roman"/>
          <w:kern w:val="0"/>
          <w14:ligatures w14:val="none"/>
        </w:rPr>
      </w:pPr>
      <w:r w:rsidRPr="00E14AE8">
        <w:rPr>
          <w:rFonts w:ascii="Aptos Display" w:eastAsia="Times New Roman" w:hAnsi="Aptos Display" w:cs="Times New Roman"/>
          <w:noProof/>
          <w:kern w:val="0"/>
          <w14:ligatures w14:val="none"/>
        </w:rPr>
        <mc:AlternateContent>
          <mc:Choice Requires="wps">
            <w:drawing>
              <wp:inline distT="0" distB="0" distL="0" distR="0" wp14:anchorId="3E0CDA53" wp14:editId="0E206EBC">
                <wp:extent cx="5731510" cy="1270"/>
                <wp:effectExtent l="0" t="31750" r="0" b="36830"/>
                <wp:docPr id="14078648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C72646"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63D67E63" w14:textId="77777777" w:rsidR="003A29AA" w:rsidRPr="00795C85" w:rsidRDefault="003A29AA" w:rsidP="003A29AA">
      <w:pPr>
        <w:spacing w:before="100" w:beforeAutospacing="1" w:after="100" w:afterAutospacing="1" w:line="240" w:lineRule="auto"/>
        <w:outlineLvl w:val="1"/>
        <w:rPr>
          <w:rFonts w:ascii="Aptos Display" w:eastAsia="Times New Roman" w:hAnsi="Aptos Display" w:cs="Times New Roman"/>
          <w:b/>
          <w:bCs/>
          <w:color w:val="000000"/>
          <w:kern w:val="0"/>
          <w:sz w:val="36"/>
          <w:szCs w:val="36"/>
          <w14:ligatures w14:val="none"/>
        </w:rPr>
      </w:pPr>
      <w:r w:rsidRPr="00795C85">
        <w:rPr>
          <w:rFonts w:ascii="Aptos Display" w:eastAsia="Times New Roman" w:hAnsi="Aptos Display" w:cs="Times New Roman"/>
          <w:b/>
          <w:bCs/>
          <w:color w:val="000000"/>
          <w:kern w:val="0"/>
          <w:sz w:val="36"/>
          <w:szCs w:val="36"/>
          <w14:ligatures w14:val="none"/>
        </w:rPr>
        <w:t>8. Conclusion</w:t>
      </w:r>
    </w:p>
    <w:p w14:paraId="36BB75FE"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The protection of journalists in conflict zones is essential for safeguarding human rights and ensuring access to accurate information. As risks continue to evolve, international cooperation remains key.</w:t>
      </w:r>
    </w:p>
    <w:p w14:paraId="50AA6139" w14:textId="77777777" w:rsidR="003A29AA" w:rsidRPr="00E14AE8" w:rsidRDefault="003A29AA" w:rsidP="003A29AA">
      <w:pPr>
        <w:spacing w:before="100" w:beforeAutospacing="1" w:after="100" w:afterAutospacing="1" w:line="240" w:lineRule="auto"/>
        <w:rPr>
          <w:rFonts w:ascii="Aptos Display" w:hAnsi="Aptos Display" w:cs="Times New Roman"/>
          <w:color w:val="000000"/>
          <w:kern w:val="0"/>
          <w14:ligatures w14:val="none"/>
        </w:rPr>
      </w:pPr>
      <w:r w:rsidRPr="00E14AE8">
        <w:rPr>
          <w:rFonts w:ascii="Aptos Display" w:hAnsi="Aptos Display" w:cs="Times New Roman"/>
          <w:color w:val="000000"/>
          <w:kern w:val="0"/>
          <w14:ligatures w14:val="none"/>
        </w:rPr>
        <w:t>GA3 provides an important platform for dialogue and consensus-building aimed at improving protections for journalists worldwide.</w:t>
      </w:r>
    </w:p>
    <w:p w14:paraId="622490BE" w14:textId="77777777" w:rsidR="00C44DAA" w:rsidRPr="00E14AE8" w:rsidRDefault="00C44DAA" w:rsidP="003A29AA">
      <w:pPr>
        <w:rPr>
          <w:rFonts w:ascii="Aptos Display" w:hAnsi="Aptos Display"/>
        </w:rPr>
      </w:pPr>
    </w:p>
    <w:sectPr w:rsidR="00C44DAA" w:rsidRPr="00E14A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026FC" w14:textId="77777777" w:rsidR="008E2928" w:rsidRDefault="008E2928" w:rsidP="00AE142E">
      <w:pPr>
        <w:spacing w:after="0" w:line="240" w:lineRule="auto"/>
      </w:pPr>
      <w:r>
        <w:separator/>
      </w:r>
    </w:p>
  </w:endnote>
  <w:endnote w:type="continuationSeparator" w:id="0">
    <w:p w14:paraId="595FF794" w14:textId="77777777" w:rsidR="008E2928" w:rsidRDefault="008E2928" w:rsidP="00AE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D88A" w14:textId="77777777" w:rsidR="008E2928" w:rsidRDefault="008E2928" w:rsidP="00AE142E">
      <w:pPr>
        <w:spacing w:after="0" w:line="240" w:lineRule="auto"/>
      </w:pPr>
      <w:r>
        <w:separator/>
      </w:r>
    </w:p>
  </w:footnote>
  <w:footnote w:type="continuationSeparator" w:id="0">
    <w:p w14:paraId="03BAEA52" w14:textId="77777777" w:rsidR="008E2928" w:rsidRDefault="008E2928" w:rsidP="00AE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D5B8" w14:textId="4EF7CF73" w:rsidR="00AE142E" w:rsidRDefault="00AE142E">
    <w:pPr>
      <w:pStyle w:val="Header"/>
    </w:pPr>
    <w:r>
      <w:t>Sam Fitzgerald</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F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27E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135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467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93A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FE02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672E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D68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579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7B32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A1B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5806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5F2E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EF68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D6D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8042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7034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F005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8F21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764E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457203">
    <w:abstractNumId w:val="17"/>
  </w:num>
  <w:num w:numId="2" w16cid:durableId="293953593">
    <w:abstractNumId w:val="16"/>
  </w:num>
  <w:num w:numId="3" w16cid:durableId="2028602883">
    <w:abstractNumId w:val="5"/>
  </w:num>
  <w:num w:numId="4" w16cid:durableId="2093965107">
    <w:abstractNumId w:val="10"/>
  </w:num>
  <w:num w:numId="5" w16cid:durableId="1025328322">
    <w:abstractNumId w:val="19"/>
  </w:num>
  <w:num w:numId="6" w16cid:durableId="280186112">
    <w:abstractNumId w:val="2"/>
  </w:num>
  <w:num w:numId="7" w16cid:durableId="159004477">
    <w:abstractNumId w:val="8"/>
  </w:num>
  <w:num w:numId="8" w16cid:durableId="1485973149">
    <w:abstractNumId w:val="18"/>
  </w:num>
  <w:num w:numId="9" w16cid:durableId="268464617">
    <w:abstractNumId w:val="4"/>
  </w:num>
  <w:num w:numId="10" w16cid:durableId="1113093453">
    <w:abstractNumId w:val="11"/>
  </w:num>
  <w:num w:numId="11" w16cid:durableId="344749713">
    <w:abstractNumId w:val="0"/>
  </w:num>
  <w:num w:numId="12" w16cid:durableId="1848790252">
    <w:abstractNumId w:val="14"/>
  </w:num>
  <w:num w:numId="13" w16cid:durableId="1820459338">
    <w:abstractNumId w:val="9"/>
  </w:num>
  <w:num w:numId="14" w16cid:durableId="761991514">
    <w:abstractNumId w:val="6"/>
  </w:num>
  <w:num w:numId="15" w16cid:durableId="96220755">
    <w:abstractNumId w:val="15"/>
  </w:num>
  <w:num w:numId="16" w16cid:durableId="748692586">
    <w:abstractNumId w:val="13"/>
  </w:num>
  <w:num w:numId="17" w16cid:durableId="625426416">
    <w:abstractNumId w:val="7"/>
  </w:num>
  <w:num w:numId="18" w16cid:durableId="104934272">
    <w:abstractNumId w:val="3"/>
  </w:num>
  <w:num w:numId="19" w16cid:durableId="997686035">
    <w:abstractNumId w:val="1"/>
  </w:num>
  <w:num w:numId="20" w16cid:durableId="661658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AA"/>
    <w:rsid w:val="000528A6"/>
    <w:rsid w:val="0023675C"/>
    <w:rsid w:val="00254AB8"/>
    <w:rsid w:val="0038016D"/>
    <w:rsid w:val="0039798B"/>
    <w:rsid w:val="003A29AA"/>
    <w:rsid w:val="00436EA5"/>
    <w:rsid w:val="005E21EE"/>
    <w:rsid w:val="0063333B"/>
    <w:rsid w:val="0067391B"/>
    <w:rsid w:val="006845C9"/>
    <w:rsid w:val="007372E3"/>
    <w:rsid w:val="0077094E"/>
    <w:rsid w:val="00795C85"/>
    <w:rsid w:val="008E2928"/>
    <w:rsid w:val="00940ED6"/>
    <w:rsid w:val="00983DED"/>
    <w:rsid w:val="00A10D2E"/>
    <w:rsid w:val="00AE142E"/>
    <w:rsid w:val="00BC3416"/>
    <w:rsid w:val="00C36262"/>
    <w:rsid w:val="00C44DAA"/>
    <w:rsid w:val="00D44E97"/>
    <w:rsid w:val="00E14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2B1BB9"/>
  <w15:chartTrackingRefBased/>
  <w15:docId w15:val="{9283152C-E503-3845-BE71-9BEC6956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4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4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DAA"/>
    <w:rPr>
      <w:rFonts w:eastAsiaTheme="majorEastAsia" w:cstheme="majorBidi"/>
      <w:color w:val="272727" w:themeColor="text1" w:themeTint="D8"/>
    </w:rPr>
  </w:style>
  <w:style w:type="paragraph" w:styleId="Title">
    <w:name w:val="Title"/>
    <w:basedOn w:val="Normal"/>
    <w:next w:val="Normal"/>
    <w:link w:val="TitleChar"/>
    <w:uiPriority w:val="10"/>
    <w:qFormat/>
    <w:rsid w:val="00C44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DAA"/>
    <w:pPr>
      <w:spacing w:before="160"/>
      <w:jc w:val="center"/>
    </w:pPr>
    <w:rPr>
      <w:i/>
      <w:iCs/>
      <w:color w:val="404040" w:themeColor="text1" w:themeTint="BF"/>
    </w:rPr>
  </w:style>
  <w:style w:type="character" w:customStyle="1" w:styleId="QuoteChar">
    <w:name w:val="Quote Char"/>
    <w:basedOn w:val="DefaultParagraphFont"/>
    <w:link w:val="Quote"/>
    <w:uiPriority w:val="29"/>
    <w:rsid w:val="00C44DAA"/>
    <w:rPr>
      <w:i/>
      <w:iCs/>
      <w:color w:val="404040" w:themeColor="text1" w:themeTint="BF"/>
    </w:rPr>
  </w:style>
  <w:style w:type="paragraph" w:styleId="ListParagraph">
    <w:name w:val="List Paragraph"/>
    <w:basedOn w:val="Normal"/>
    <w:uiPriority w:val="34"/>
    <w:qFormat/>
    <w:rsid w:val="00C44DAA"/>
    <w:pPr>
      <w:ind w:left="720"/>
      <w:contextualSpacing/>
    </w:pPr>
  </w:style>
  <w:style w:type="character" w:styleId="IntenseEmphasis">
    <w:name w:val="Intense Emphasis"/>
    <w:basedOn w:val="DefaultParagraphFont"/>
    <w:uiPriority w:val="21"/>
    <w:qFormat/>
    <w:rsid w:val="00C44DAA"/>
    <w:rPr>
      <w:i/>
      <w:iCs/>
      <w:color w:val="0F4761" w:themeColor="accent1" w:themeShade="BF"/>
    </w:rPr>
  </w:style>
  <w:style w:type="paragraph" w:styleId="IntenseQuote">
    <w:name w:val="Intense Quote"/>
    <w:basedOn w:val="Normal"/>
    <w:next w:val="Normal"/>
    <w:link w:val="IntenseQuoteChar"/>
    <w:uiPriority w:val="30"/>
    <w:qFormat/>
    <w:rsid w:val="00C44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DAA"/>
    <w:rPr>
      <w:i/>
      <w:iCs/>
      <w:color w:val="0F4761" w:themeColor="accent1" w:themeShade="BF"/>
    </w:rPr>
  </w:style>
  <w:style w:type="character" w:styleId="IntenseReference">
    <w:name w:val="Intense Reference"/>
    <w:basedOn w:val="DefaultParagraphFont"/>
    <w:uiPriority w:val="32"/>
    <w:qFormat/>
    <w:rsid w:val="00C44DAA"/>
    <w:rPr>
      <w:b/>
      <w:bCs/>
      <w:smallCaps/>
      <w:color w:val="0F4761" w:themeColor="accent1" w:themeShade="BF"/>
      <w:spacing w:val="5"/>
    </w:rPr>
  </w:style>
  <w:style w:type="paragraph" w:styleId="NormalWeb">
    <w:name w:val="Normal (Web)"/>
    <w:basedOn w:val="Normal"/>
    <w:uiPriority w:val="99"/>
    <w:semiHidden/>
    <w:unhideWhenUsed/>
    <w:rsid w:val="00C44DAA"/>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C44DAA"/>
  </w:style>
  <w:style w:type="character" w:styleId="Hyperlink">
    <w:name w:val="Hyperlink"/>
    <w:basedOn w:val="DefaultParagraphFont"/>
    <w:uiPriority w:val="99"/>
    <w:semiHidden/>
    <w:unhideWhenUsed/>
    <w:rsid w:val="00C44DAA"/>
    <w:rPr>
      <w:color w:val="0000FF"/>
      <w:u w:val="single"/>
    </w:rPr>
  </w:style>
  <w:style w:type="paragraph" w:styleId="Header">
    <w:name w:val="header"/>
    <w:basedOn w:val="Normal"/>
    <w:link w:val="HeaderChar"/>
    <w:uiPriority w:val="99"/>
    <w:unhideWhenUsed/>
    <w:rsid w:val="00AE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42E"/>
  </w:style>
  <w:style w:type="paragraph" w:styleId="Footer">
    <w:name w:val="footer"/>
    <w:basedOn w:val="Normal"/>
    <w:link w:val="FooterChar"/>
    <w:uiPriority w:val="99"/>
    <w:unhideWhenUsed/>
    <w:rsid w:val="00AE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42E"/>
  </w:style>
  <w:style w:type="character" w:styleId="Strong">
    <w:name w:val="Strong"/>
    <w:basedOn w:val="DefaultParagraphFont"/>
    <w:uiPriority w:val="22"/>
    <w:qFormat/>
    <w:rsid w:val="003A29AA"/>
    <w:rPr>
      <w:b/>
      <w:bCs/>
    </w:rPr>
  </w:style>
  <w:style w:type="character" w:customStyle="1" w:styleId="whitespace-normal">
    <w:name w:val="whitespace-normal"/>
    <w:basedOn w:val="DefaultParagraphFont"/>
    <w:rsid w:val="003A2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470B2-3368-4F8B-A63B-3FC47E616070}"/>
</file>

<file path=customXml/itemProps2.xml><?xml version="1.0" encoding="utf-8"?>
<ds:datastoreItem xmlns:ds="http://schemas.openxmlformats.org/officeDocument/2006/customXml" ds:itemID="{E7D71146-3203-4238-BF9A-8E09D552BA96}"/>
</file>

<file path=customXml/itemProps3.xml><?xml version="1.0" encoding="utf-8"?>
<ds:datastoreItem xmlns:ds="http://schemas.openxmlformats.org/officeDocument/2006/customXml" ds:itemID="{4EE9F741-033B-4EB7-B2A8-32C17BDE7257}"/>
</file>

<file path=docProps/app.xml><?xml version="1.0" encoding="utf-8"?>
<Properties xmlns="http://schemas.openxmlformats.org/officeDocument/2006/extended-properties" xmlns:vt="http://schemas.openxmlformats.org/officeDocument/2006/docPropsVTypes">
  <Template>Normal</Template>
  <TotalTime>7</TotalTime>
  <Pages>5</Pages>
  <Words>1034</Words>
  <Characters>5896</Characters>
  <Application>Microsoft Office Word</Application>
  <DocSecurity>0</DocSecurity>
  <Lines>49</Lines>
  <Paragraphs>13</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Fitzgerald</dc:creator>
  <cp:keywords/>
  <dc:description/>
  <cp:lastModifiedBy>Sam Fitzgerald</cp:lastModifiedBy>
  <cp:revision>7</cp:revision>
  <dcterms:created xsi:type="dcterms:W3CDTF">2026-04-22T14:37:00Z</dcterms:created>
  <dcterms:modified xsi:type="dcterms:W3CDTF">2026-04-24T13:14:00Z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